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52" w:rsidRPr="009C6F2C" w:rsidRDefault="00B22252" w:rsidP="00C302EC">
      <w:pPr>
        <w:pStyle w:val="Default"/>
        <w:jc w:val="center"/>
        <w:rPr>
          <w:rFonts w:ascii="Arial" w:hAnsi="Arial" w:cs="Arial"/>
          <w:b/>
          <w:bCs/>
          <w:color w:val="auto"/>
          <w:spacing w:val="10"/>
          <w:sz w:val="22"/>
          <w:szCs w:val="22"/>
        </w:rPr>
      </w:pPr>
      <w:r w:rsidRPr="009C6F2C">
        <w:rPr>
          <w:rFonts w:ascii="Arial" w:hAnsi="Arial" w:cs="Arial"/>
          <w:b/>
          <w:bCs/>
          <w:color w:val="auto"/>
          <w:spacing w:val="10"/>
          <w:sz w:val="22"/>
          <w:szCs w:val="22"/>
        </w:rPr>
        <w:t xml:space="preserve">Summary of medications commonly used for patients with </w:t>
      </w:r>
    </w:p>
    <w:p w:rsidR="00C302EC" w:rsidRPr="009C6F2C" w:rsidRDefault="00B22252" w:rsidP="00C302EC">
      <w:pPr>
        <w:pStyle w:val="Default"/>
        <w:jc w:val="center"/>
        <w:rPr>
          <w:rFonts w:ascii="Arial" w:hAnsi="Arial" w:cs="Arial"/>
          <w:color w:val="auto"/>
          <w:spacing w:val="10"/>
          <w:sz w:val="22"/>
          <w:szCs w:val="22"/>
        </w:rPr>
      </w:pPr>
      <w:r w:rsidRPr="009C6F2C">
        <w:rPr>
          <w:rFonts w:ascii="Arial" w:hAnsi="Arial" w:cs="Arial"/>
          <w:b/>
          <w:bCs/>
          <w:color w:val="auto"/>
          <w:spacing w:val="10"/>
          <w:sz w:val="22"/>
          <w:szCs w:val="22"/>
        </w:rPr>
        <w:t>aspirin-exacerbated respiratory disease (AERD)</w:t>
      </w:r>
    </w:p>
    <w:p w:rsidR="00285C43" w:rsidRPr="009C6F2C" w:rsidRDefault="00285C43" w:rsidP="00AE4DA8">
      <w:pPr>
        <w:pStyle w:val="Default"/>
        <w:spacing w:after="40"/>
        <w:rPr>
          <w:rFonts w:ascii="Arial" w:hAnsi="Arial" w:cs="Arial"/>
          <w:color w:val="auto"/>
          <w:sz w:val="22"/>
          <w:szCs w:val="22"/>
        </w:rPr>
      </w:pPr>
    </w:p>
    <w:p w:rsidR="00B22252" w:rsidRPr="009C6F2C" w:rsidRDefault="00B22252" w:rsidP="00C302EC">
      <w:pPr>
        <w:rPr>
          <w:rFonts w:ascii="Arial" w:eastAsiaTheme="minorEastAsia" w:hAnsi="Arial" w:cs="Arial"/>
          <w:b/>
          <w:noProof/>
        </w:rPr>
      </w:pPr>
      <w:r w:rsidRPr="009C6F2C">
        <w:rPr>
          <w:rFonts w:ascii="Arial" w:eastAsiaTheme="minorEastAsia" w:hAnsi="Arial" w:cs="Arial"/>
          <w:b/>
          <w:noProof/>
        </w:rPr>
        <w:t>Inhaled corticosteroid</w:t>
      </w:r>
      <w:r w:rsidR="00F273B0" w:rsidRPr="009C6F2C">
        <w:rPr>
          <w:rFonts w:ascii="Arial" w:eastAsiaTheme="minorEastAsia" w:hAnsi="Arial" w:cs="Arial"/>
          <w:b/>
          <w:noProof/>
        </w:rPr>
        <w:t>s or combination</w:t>
      </w:r>
      <w:r w:rsidRPr="009C6F2C">
        <w:rPr>
          <w:rFonts w:ascii="Arial" w:eastAsiaTheme="minorEastAsia" w:hAnsi="Arial" w:cs="Arial"/>
          <w:b/>
          <w:noProof/>
        </w:rPr>
        <w:t xml:space="preserve"> inhaled corticosteroid + long-acting bronchodilator</w:t>
      </w:r>
    </w:p>
    <w:p w:rsidR="007D5F91" w:rsidRPr="009C6F2C" w:rsidRDefault="007D5F91" w:rsidP="00C302EC">
      <w:pPr>
        <w:rPr>
          <w:rFonts w:ascii="Arial" w:eastAsiaTheme="minorEastAsia" w:hAnsi="Arial" w:cs="Arial"/>
          <w:i/>
          <w:noProof/>
        </w:rPr>
      </w:pPr>
      <w:r w:rsidRPr="009C6F2C">
        <w:rPr>
          <w:rFonts w:ascii="Arial" w:eastAsiaTheme="minorEastAsia" w:hAnsi="Arial" w:cs="Arial"/>
          <w:i/>
          <w:noProof/>
        </w:rPr>
        <w:t>These medications are frequently used to treat asthma symptoms and are generally recommended to be taken every day, either once a day or twice a day. The inhaled corticosteroid component is intended to decrease the inflammation in the lungs, and the inhaled long-acting bronchodilator is intended to open up the lungs throughout the day and can be thought of as “long-acting albuterol”.</w:t>
      </w:r>
      <w:r w:rsidR="0072790A" w:rsidRPr="009C6F2C">
        <w:rPr>
          <w:rFonts w:ascii="Arial" w:eastAsiaTheme="minorEastAsia" w:hAnsi="Arial" w:cs="Arial"/>
          <w:i/>
          <w:noProof/>
        </w:rPr>
        <w:t xml:space="preserve"> All medications in this class are prescription-only.</w:t>
      </w:r>
    </w:p>
    <w:p w:rsidR="007D5F91" w:rsidRPr="009C6F2C" w:rsidRDefault="007D5F91" w:rsidP="00C302EC">
      <w:pPr>
        <w:rPr>
          <w:rFonts w:ascii="Arial" w:eastAsiaTheme="minorEastAsia" w:hAnsi="Arial" w:cs="Arial"/>
          <w:i/>
          <w:noProof/>
          <w:sz w:val="16"/>
        </w:rPr>
      </w:pPr>
    </w:p>
    <w:p w:rsidR="00AA7354" w:rsidRPr="009C6F2C" w:rsidRDefault="00AA7354" w:rsidP="00AA735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Flovent® (fluticasone = steroid-only inhaler)</w:t>
      </w:r>
    </w:p>
    <w:p w:rsidR="00AA7354" w:rsidRPr="009C6F2C" w:rsidRDefault="00AA7354" w:rsidP="00AA735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QVAR® (beclomethasone = steroid-only inhaler)</w:t>
      </w:r>
    </w:p>
    <w:p w:rsidR="00AA7354" w:rsidRPr="009C6F2C" w:rsidRDefault="00AA7354" w:rsidP="00AA735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Pulmicort Flexhaler® (budesonide = steroid-only inhaler)</w:t>
      </w:r>
    </w:p>
    <w:p w:rsidR="00C13F2E" w:rsidRPr="009C6F2C" w:rsidRDefault="00AA7354" w:rsidP="00AA735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  <w:sz w:val="16"/>
        </w:rPr>
      </w:pPr>
      <w:r w:rsidRPr="009C6F2C">
        <w:rPr>
          <w:rFonts w:ascii="Arial" w:eastAsiaTheme="minorEastAsia" w:hAnsi="Arial" w:cs="Arial"/>
          <w:noProof/>
        </w:rPr>
        <w:t>Alvesco® (ciclesonide = steroid-only inhaler)</w:t>
      </w:r>
    </w:p>
    <w:p w:rsidR="00C13F2E" w:rsidRPr="009C6F2C" w:rsidRDefault="00C13F2E" w:rsidP="00AA735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  <w:sz w:val="16"/>
        </w:rPr>
      </w:pPr>
      <w:r w:rsidRPr="009C6F2C">
        <w:rPr>
          <w:rFonts w:ascii="Arial" w:eastAsiaTheme="minorEastAsia" w:hAnsi="Arial" w:cs="Arial"/>
          <w:noProof/>
        </w:rPr>
        <w:t>Aerospan® (flunisolide = steroid-only inhaler)</w:t>
      </w:r>
    </w:p>
    <w:p w:rsidR="00AA7354" w:rsidRPr="009A42D9" w:rsidRDefault="003D4435" w:rsidP="00AA735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  <w:sz w:val="16"/>
        </w:rPr>
      </w:pPr>
      <w:r w:rsidRPr="009A42D9">
        <w:rPr>
          <w:rFonts w:ascii="Arial" w:eastAsiaTheme="minorEastAsia" w:hAnsi="Arial" w:cs="Arial"/>
          <w:noProof/>
        </w:rPr>
        <w:t>As</w:t>
      </w:r>
      <w:r w:rsidR="00C13F2E" w:rsidRPr="009A42D9">
        <w:rPr>
          <w:rFonts w:ascii="Arial" w:eastAsiaTheme="minorEastAsia" w:hAnsi="Arial" w:cs="Arial"/>
          <w:noProof/>
        </w:rPr>
        <w:t>manex® (mometasone = steroid-only inhaler)</w:t>
      </w:r>
      <w:r w:rsidR="00C6151D" w:rsidRPr="009A42D9">
        <w:rPr>
          <w:rFonts w:ascii="Arial" w:eastAsiaTheme="minorEastAsia" w:hAnsi="Arial" w:cs="Arial"/>
          <w:noProof/>
        </w:rPr>
        <w:br/>
      </w:r>
    </w:p>
    <w:p w:rsidR="009A42D9" w:rsidRPr="009A42D9" w:rsidRDefault="00AA7354" w:rsidP="00AA735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9A42D9">
        <w:rPr>
          <w:rFonts w:ascii="Arial" w:eastAsiaTheme="minorEastAsia" w:hAnsi="Arial" w:cs="Arial"/>
          <w:noProof/>
        </w:rPr>
        <w:t>Advair® (fluticasone + salmeterol = combination inhaler)</w:t>
      </w:r>
    </w:p>
    <w:p w:rsidR="00AA7354" w:rsidRPr="009A42D9" w:rsidRDefault="009A42D9" w:rsidP="00AA735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9A42D9">
        <w:rPr>
          <w:rFonts w:ascii="Arial" w:eastAsiaTheme="minorEastAsia" w:hAnsi="Arial" w:cs="Arial"/>
          <w:noProof/>
        </w:rPr>
        <w:t>Wixela</w:t>
      </w:r>
      <w:r w:rsidRPr="009A42D9">
        <w:rPr>
          <w:rFonts w:ascii="Arial" w:eastAsiaTheme="minorEastAsia" w:hAnsi="Arial" w:cs="Arial"/>
          <w:noProof/>
        </w:rPr>
        <w:t>®</w:t>
      </w:r>
      <w:r w:rsidR="003D4435" w:rsidRPr="009A42D9">
        <w:rPr>
          <w:rFonts w:ascii="Arial" w:eastAsiaTheme="minorEastAsia" w:hAnsi="Arial" w:cs="Arial"/>
          <w:noProof/>
        </w:rPr>
        <w:t xml:space="preserve"> </w:t>
      </w:r>
      <w:r w:rsidRPr="009A42D9">
        <w:rPr>
          <w:rFonts w:ascii="Arial" w:eastAsiaTheme="minorEastAsia" w:hAnsi="Arial" w:cs="Arial"/>
          <w:noProof/>
        </w:rPr>
        <w:t>(fluticasone + salmeterol = combination inhaler) (generic)</w:t>
      </w:r>
    </w:p>
    <w:p w:rsidR="00AA7354" w:rsidRPr="009A42D9" w:rsidRDefault="00AA7354" w:rsidP="00AA735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9A42D9">
        <w:rPr>
          <w:rFonts w:ascii="Arial" w:eastAsiaTheme="minorEastAsia" w:hAnsi="Arial" w:cs="Arial"/>
          <w:noProof/>
        </w:rPr>
        <w:t>Symbicort® (budesonide + formoterol = combination inhaler)</w:t>
      </w:r>
    </w:p>
    <w:p w:rsidR="00AA7354" w:rsidRPr="009A42D9" w:rsidRDefault="00AA7354" w:rsidP="00AA735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9A42D9">
        <w:rPr>
          <w:rFonts w:ascii="Arial" w:eastAsiaTheme="minorEastAsia" w:hAnsi="Arial" w:cs="Arial"/>
          <w:noProof/>
        </w:rPr>
        <w:t>Dulera® (mometasone + formoterol = combination inhaler)</w:t>
      </w:r>
    </w:p>
    <w:p w:rsidR="00574F13" w:rsidRPr="009C6F2C" w:rsidRDefault="00574F13" w:rsidP="00AA735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Breo Ellipta® (fluticasone + vilanterol = combination inhaler)</w:t>
      </w:r>
    </w:p>
    <w:p w:rsidR="00C6151D" w:rsidRPr="009C6F2C" w:rsidRDefault="00C6151D" w:rsidP="00C6151D">
      <w:pPr>
        <w:rPr>
          <w:rFonts w:ascii="Arial" w:eastAsiaTheme="minorEastAsia" w:hAnsi="Arial" w:cs="Arial"/>
          <w:noProof/>
        </w:rPr>
      </w:pPr>
    </w:p>
    <w:p w:rsidR="005F3944" w:rsidRPr="009C6F2C" w:rsidRDefault="005F3944" w:rsidP="00C6151D">
      <w:pPr>
        <w:rPr>
          <w:rFonts w:ascii="Arial" w:eastAsiaTheme="minorEastAsia" w:hAnsi="Arial" w:cs="Arial"/>
          <w:noProof/>
        </w:rPr>
      </w:pPr>
    </w:p>
    <w:p w:rsidR="00C6151D" w:rsidRPr="009C6F2C" w:rsidRDefault="00C6151D" w:rsidP="00C6151D">
      <w:pPr>
        <w:rPr>
          <w:rFonts w:ascii="Arial" w:eastAsiaTheme="minorEastAsia" w:hAnsi="Arial" w:cs="Arial"/>
          <w:b/>
          <w:noProof/>
        </w:rPr>
      </w:pPr>
      <w:r w:rsidRPr="009C6F2C">
        <w:rPr>
          <w:rFonts w:ascii="Arial" w:eastAsiaTheme="minorEastAsia" w:hAnsi="Arial" w:cs="Arial"/>
          <w:b/>
          <w:noProof/>
        </w:rPr>
        <w:t>Intranasal corticosteroid sprays and rinses</w:t>
      </w:r>
    </w:p>
    <w:p w:rsidR="007D5F91" w:rsidRPr="009C6F2C" w:rsidRDefault="007D5F91" w:rsidP="00C6151D">
      <w:pPr>
        <w:rPr>
          <w:rFonts w:ascii="Arial" w:eastAsiaTheme="minorEastAsia" w:hAnsi="Arial" w:cs="Arial"/>
          <w:i/>
          <w:noProof/>
        </w:rPr>
      </w:pPr>
      <w:r w:rsidRPr="009C6F2C">
        <w:rPr>
          <w:rFonts w:ascii="Arial" w:eastAsiaTheme="minorEastAsia" w:hAnsi="Arial" w:cs="Arial"/>
          <w:i/>
          <w:noProof/>
        </w:rPr>
        <w:t>These medications are frequently used to treat nasal congestion and nasal polyps, and are generally recommended to be taken every day, either once a day or twice a day. When the corticosteroid is sprayed or rinsed directly into the nose and sinuses, it can help to decrease the inflammation and swelling in those areas.</w:t>
      </w:r>
      <w:r w:rsidR="0072790A" w:rsidRPr="009C6F2C">
        <w:rPr>
          <w:rFonts w:ascii="Arial" w:eastAsiaTheme="minorEastAsia" w:hAnsi="Arial" w:cs="Arial"/>
          <w:i/>
          <w:noProof/>
        </w:rPr>
        <w:t xml:space="preserve"> Some medications in this class are available OTC.</w:t>
      </w:r>
    </w:p>
    <w:p w:rsidR="007D5F91" w:rsidRPr="009C6F2C" w:rsidRDefault="007D5F91" w:rsidP="00C6151D">
      <w:pPr>
        <w:rPr>
          <w:rFonts w:ascii="Arial" w:eastAsiaTheme="minorEastAsia" w:hAnsi="Arial" w:cs="Arial"/>
          <w:i/>
          <w:noProof/>
          <w:sz w:val="16"/>
        </w:rPr>
      </w:pPr>
    </w:p>
    <w:p w:rsidR="00C6151D" w:rsidRPr="009C6F2C" w:rsidRDefault="00C6151D" w:rsidP="00C6151D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Flonase® (fluticasone</w:t>
      </w:r>
      <w:r w:rsidR="001B7E97" w:rsidRPr="009C6F2C">
        <w:rPr>
          <w:rFonts w:ascii="Arial" w:eastAsiaTheme="minorEastAsia" w:hAnsi="Arial" w:cs="Arial"/>
          <w:noProof/>
        </w:rPr>
        <w:t xml:space="preserve"> spray</w:t>
      </w:r>
      <w:r w:rsidRPr="009C6F2C">
        <w:rPr>
          <w:rFonts w:ascii="Arial" w:eastAsiaTheme="minorEastAsia" w:hAnsi="Arial" w:cs="Arial"/>
          <w:noProof/>
        </w:rPr>
        <w:t>) – available OTC</w:t>
      </w:r>
    </w:p>
    <w:p w:rsidR="001B7E97" w:rsidRPr="009C6F2C" w:rsidRDefault="001B7E97" w:rsidP="001B7E9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Nasacort® (triamcinolone spray – available OTC)</w:t>
      </w:r>
    </w:p>
    <w:p w:rsidR="001B7E97" w:rsidRPr="009C6F2C" w:rsidRDefault="001B7E97" w:rsidP="001B7E9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Rhinocort® (budesonide spray) – available OTC)</w:t>
      </w:r>
    </w:p>
    <w:p w:rsidR="001B7E97" w:rsidRPr="009C6F2C" w:rsidRDefault="001B7E97" w:rsidP="001B7E9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Nasonex® (mometasone spray) – available only as a prescription</w:t>
      </w:r>
    </w:p>
    <w:p w:rsidR="001B7E97" w:rsidRPr="009A42D9" w:rsidRDefault="001B7E97" w:rsidP="001B7E9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 xml:space="preserve">Pulmicort Respules® (budesonide suspension liquid) – available only as a prescription, to be </w:t>
      </w:r>
      <w:r w:rsidRPr="009A42D9">
        <w:rPr>
          <w:rFonts w:ascii="Arial" w:eastAsiaTheme="minorEastAsia" w:hAnsi="Arial" w:cs="Arial"/>
          <w:noProof/>
        </w:rPr>
        <w:t>used either mixed in a saline sinus rinse solution, or instilled directly into the nostrils</w:t>
      </w:r>
    </w:p>
    <w:p w:rsidR="003D4435" w:rsidRPr="009A42D9" w:rsidRDefault="003D4435" w:rsidP="001B7E9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noProof/>
        </w:rPr>
      </w:pPr>
      <w:r w:rsidRPr="009A42D9">
        <w:rPr>
          <w:rFonts w:ascii="Arial" w:eastAsiaTheme="minorEastAsia" w:hAnsi="Arial" w:cs="Arial"/>
          <w:noProof/>
        </w:rPr>
        <w:t>X</w:t>
      </w:r>
      <w:r w:rsidR="009A42D9" w:rsidRPr="009A42D9">
        <w:rPr>
          <w:rFonts w:ascii="Arial" w:eastAsiaTheme="minorEastAsia" w:hAnsi="Arial" w:cs="Arial"/>
          <w:noProof/>
        </w:rPr>
        <w:t>hance</w:t>
      </w:r>
      <w:r w:rsidR="009A42D9" w:rsidRPr="009A42D9">
        <w:rPr>
          <w:rFonts w:ascii="Arial" w:eastAsiaTheme="minorEastAsia" w:hAnsi="Arial" w:cs="Arial"/>
          <w:noProof/>
        </w:rPr>
        <w:t>®</w:t>
      </w:r>
      <w:r w:rsidRPr="009A42D9">
        <w:rPr>
          <w:rFonts w:ascii="Arial" w:eastAsiaTheme="minorEastAsia" w:hAnsi="Arial" w:cs="Arial"/>
          <w:noProof/>
        </w:rPr>
        <w:t xml:space="preserve"> – fluticasone spray in a new delivery mechanism – prescription only </w:t>
      </w:r>
    </w:p>
    <w:p w:rsidR="00C6151D" w:rsidRPr="009C6F2C" w:rsidRDefault="00C6151D" w:rsidP="00F273B0">
      <w:pPr>
        <w:rPr>
          <w:rFonts w:ascii="Arial" w:eastAsiaTheme="minorEastAsia" w:hAnsi="Arial" w:cs="Arial"/>
          <w:noProof/>
        </w:rPr>
      </w:pPr>
    </w:p>
    <w:p w:rsidR="005F3944" w:rsidRPr="009C6F2C" w:rsidRDefault="005F3944" w:rsidP="00F273B0">
      <w:pPr>
        <w:rPr>
          <w:rFonts w:ascii="Arial" w:eastAsiaTheme="minorEastAsia" w:hAnsi="Arial" w:cs="Arial"/>
          <w:noProof/>
        </w:rPr>
      </w:pPr>
    </w:p>
    <w:p w:rsidR="00F273B0" w:rsidRPr="009C6F2C" w:rsidRDefault="00F273B0" w:rsidP="00F273B0">
      <w:pPr>
        <w:rPr>
          <w:rFonts w:ascii="Arial" w:eastAsiaTheme="minorEastAsia" w:hAnsi="Arial" w:cs="Arial"/>
          <w:b/>
          <w:noProof/>
        </w:rPr>
      </w:pPr>
      <w:r w:rsidRPr="009C6F2C">
        <w:rPr>
          <w:rFonts w:ascii="Arial" w:eastAsiaTheme="minorEastAsia" w:hAnsi="Arial" w:cs="Arial"/>
          <w:b/>
          <w:noProof/>
        </w:rPr>
        <w:t>Anti-leukotriene medications</w:t>
      </w:r>
    </w:p>
    <w:p w:rsidR="007D5F91" w:rsidRPr="009C6F2C" w:rsidRDefault="007D5F91" w:rsidP="00F273B0">
      <w:pPr>
        <w:rPr>
          <w:rFonts w:ascii="Arial" w:eastAsiaTheme="minorEastAsia" w:hAnsi="Arial" w:cs="Arial"/>
          <w:i/>
          <w:noProof/>
        </w:rPr>
      </w:pPr>
      <w:r w:rsidRPr="009C6F2C">
        <w:rPr>
          <w:rFonts w:ascii="Arial" w:eastAsiaTheme="minorEastAsia" w:hAnsi="Arial" w:cs="Arial"/>
          <w:i/>
          <w:noProof/>
        </w:rPr>
        <w:t>Patients with AERD usually produce very high levels of inflammatory mediators called leukotrienes, and these contribute to a lot of the symptoms patients experience.</w:t>
      </w:r>
      <w:r w:rsidR="0072790A" w:rsidRPr="009C6F2C">
        <w:rPr>
          <w:rFonts w:ascii="Arial" w:eastAsiaTheme="minorEastAsia" w:hAnsi="Arial" w:cs="Arial"/>
          <w:i/>
          <w:noProof/>
        </w:rPr>
        <w:t xml:space="preserve"> All medications in this class are prescription-only.</w:t>
      </w:r>
    </w:p>
    <w:p w:rsidR="003D4435" w:rsidRDefault="00F273B0" w:rsidP="00F273B0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Singulair® (montelukast)</w:t>
      </w:r>
      <w:r w:rsidR="00450825" w:rsidRPr="009C6F2C">
        <w:rPr>
          <w:rFonts w:ascii="Arial" w:eastAsiaTheme="minorEastAsia" w:hAnsi="Arial" w:cs="Arial"/>
          <w:noProof/>
        </w:rPr>
        <w:t xml:space="preserve"> </w:t>
      </w:r>
      <w:r w:rsidR="00450825" w:rsidRPr="009C6F2C">
        <w:rPr>
          <w:rFonts w:ascii="Arial" w:eastAsiaTheme="minorEastAsia" w:hAnsi="Arial" w:cs="Arial"/>
          <w:noProof/>
        </w:rPr>
        <w:sym w:font="Wingdings" w:char="F0F0"/>
      </w:r>
      <w:r w:rsidR="00450825" w:rsidRPr="009C6F2C">
        <w:rPr>
          <w:rFonts w:ascii="Arial" w:eastAsiaTheme="minorEastAsia" w:hAnsi="Arial" w:cs="Arial"/>
          <w:noProof/>
        </w:rPr>
        <w:t xml:space="preserve"> This is a pill taken once a day that blocks one of the receptors for leukotrienes. It is available by prescription-only and has an</w:t>
      </w:r>
      <w:r w:rsidR="003D4435">
        <w:rPr>
          <w:rFonts w:ascii="Arial" w:eastAsiaTheme="minorEastAsia" w:hAnsi="Arial" w:cs="Arial"/>
          <w:noProof/>
        </w:rPr>
        <w:t xml:space="preserve"> available generic form as well</w:t>
      </w:r>
    </w:p>
    <w:p w:rsidR="00F273B0" w:rsidRPr="009C6F2C" w:rsidRDefault="003D4435" w:rsidP="00F273B0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noProof/>
        </w:rPr>
      </w:pPr>
      <w:r w:rsidRPr="009A42D9">
        <w:rPr>
          <w:rFonts w:ascii="Arial" w:eastAsiaTheme="minorEastAsia" w:hAnsi="Arial" w:cs="Arial"/>
          <w:noProof/>
        </w:rPr>
        <w:lastRenderedPageBreak/>
        <w:t>Accolate</w:t>
      </w:r>
      <w:r w:rsidR="009A42D9" w:rsidRPr="009A42D9">
        <w:rPr>
          <w:rFonts w:ascii="Arial" w:eastAsiaTheme="minorEastAsia" w:hAnsi="Arial" w:cs="Arial"/>
          <w:noProof/>
        </w:rPr>
        <w:t>®</w:t>
      </w:r>
      <w:r w:rsidRPr="009A42D9">
        <w:rPr>
          <w:rFonts w:ascii="Arial" w:eastAsiaTheme="minorEastAsia" w:hAnsi="Arial" w:cs="Arial"/>
          <w:noProof/>
        </w:rPr>
        <w:t xml:space="preserve"> (zafirlukast) </w:t>
      </w:r>
      <w:r w:rsidRPr="009A42D9">
        <w:rPr>
          <w:rFonts w:ascii="Arial" w:eastAsiaTheme="minorEastAsia" w:hAnsi="Arial" w:cs="Arial"/>
          <w:noProof/>
        </w:rPr>
        <w:sym w:font="Wingdings" w:char="F0E0"/>
      </w:r>
      <w:r w:rsidRPr="009A42D9">
        <w:rPr>
          <w:rFonts w:ascii="Arial" w:eastAsiaTheme="minorEastAsia" w:hAnsi="Arial" w:cs="Arial"/>
          <w:noProof/>
        </w:rPr>
        <w:t xml:space="preserve"> this is  pill taken twice a day the blocks the same receptor as Singulair</w:t>
      </w:r>
      <w:r w:rsidR="009533EE" w:rsidRPr="009C6F2C">
        <w:rPr>
          <w:rFonts w:ascii="Arial" w:eastAsiaTheme="minorEastAsia" w:hAnsi="Arial" w:cs="Arial"/>
          <w:noProof/>
        </w:rPr>
        <w:br/>
      </w:r>
    </w:p>
    <w:p w:rsidR="00F273B0" w:rsidRPr="009C6F2C" w:rsidRDefault="00F273B0" w:rsidP="00F273B0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Zyflo CR® (zileuton)</w:t>
      </w:r>
      <w:r w:rsidR="00450825" w:rsidRPr="009C6F2C">
        <w:rPr>
          <w:rFonts w:ascii="Arial" w:eastAsiaTheme="minorEastAsia" w:hAnsi="Arial" w:cs="Arial"/>
          <w:noProof/>
        </w:rPr>
        <w:t xml:space="preserve"> </w:t>
      </w:r>
      <w:r w:rsidR="00450825" w:rsidRPr="009C6F2C">
        <w:rPr>
          <w:rFonts w:ascii="Arial" w:eastAsiaTheme="minorEastAsia" w:hAnsi="Arial" w:cs="Arial"/>
          <w:noProof/>
        </w:rPr>
        <w:sym w:font="Wingdings" w:char="F0F0"/>
      </w:r>
      <w:r w:rsidR="00666ED0" w:rsidRPr="009C6F2C">
        <w:rPr>
          <w:rFonts w:ascii="Arial" w:eastAsiaTheme="minorEastAsia" w:hAnsi="Arial" w:cs="Arial"/>
          <w:noProof/>
        </w:rPr>
        <w:t xml:space="preserve"> This is given </w:t>
      </w:r>
      <w:r w:rsidR="00666ED0" w:rsidRPr="009A42D9">
        <w:rPr>
          <w:rFonts w:ascii="Arial" w:eastAsiaTheme="minorEastAsia" w:hAnsi="Arial" w:cs="Arial"/>
          <w:noProof/>
        </w:rPr>
        <w:t>as 2 pills taken twi</w:t>
      </w:r>
      <w:r w:rsidR="003D4435" w:rsidRPr="009A42D9">
        <w:rPr>
          <w:rFonts w:ascii="Arial" w:eastAsiaTheme="minorEastAsia" w:hAnsi="Arial" w:cs="Arial"/>
          <w:noProof/>
        </w:rPr>
        <w:t>c</w:t>
      </w:r>
      <w:r w:rsidR="00666ED0" w:rsidRPr="009A42D9">
        <w:rPr>
          <w:rFonts w:ascii="Arial" w:eastAsiaTheme="minorEastAsia" w:hAnsi="Arial" w:cs="Arial"/>
          <w:noProof/>
        </w:rPr>
        <w:t>e a day</w:t>
      </w:r>
      <w:r w:rsidR="00666ED0" w:rsidRPr="009C6F2C">
        <w:rPr>
          <w:rFonts w:ascii="Arial" w:eastAsiaTheme="minorEastAsia" w:hAnsi="Arial" w:cs="Arial"/>
          <w:noProof/>
        </w:rPr>
        <w:t xml:space="preserve"> and it blocks the enzyme that produces leukotrienes, so that leukotriene levels are lowered overall. The medication is quite expensive, though through the Zyflo connect® program there are helpful discounts available.</w:t>
      </w:r>
    </w:p>
    <w:p w:rsidR="005F3944" w:rsidRPr="009C6F2C" w:rsidRDefault="005F3944" w:rsidP="00F273B0">
      <w:pPr>
        <w:rPr>
          <w:rFonts w:ascii="Arial" w:eastAsiaTheme="minorEastAsia" w:hAnsi="Arial" w:cs="Arial"/>
          <w:noProof/>
        </w:rPr>
      </w:pPr>
    </w:p>
    <w:p w:rsidR="00F273B0" w:rsidRPr="009C6F2C" w:rsidRDefault="0073349A" w:rsidP="00F273B0">
      <w:pPr>
        <w:rPr>
          <w:rFonts w:ascii="Arial" w:eastAsiaTheme="minorEastAsia" w:hAnsi="Arial" w:cs="Arial"/>
          <w:b/>
          <w:noProof/>
        </w:rPr>
      </w:pPr>
      <w:r w:rsidRPr="009C6F2C">
        <w:rPr>
          <w:rFonts w:ascii="Arial" w:eastAsiaTheme="minorEastAsia" w:hAnsi="Arial" w:cs="Arial"/>
          <w:b/>
          <w:noProof/>
        </w:rPr>
        <w:t>Injections</w:t>
      </w:r>
      <w:r w:rsidR="006F7D8C" w:rsidRPr="009C6F2C">
        <w:rPr>
          <w:rFonts w:ascii="Arial" w:eastAsiaTheme="minorEastAsia" w:hAnsi="Arial" w:cs="Arial"/>
          <w:b/>
          <w:noProof/>
        </w:rPr>
        <w:t>/Infusions</w:t>
      </w:r>
    </w:p>
    <w:p w:rsidR="002C4682" w:rsidRPr="009C6F2C" w:rsidRDefault="002C4682" w:rsidP="00F273B0">
      <w:pPr>
        <w:rPr>
          <w:rFonts w:ascii="Arial" w:eastAsiaTheme="minorEastAsia" w:hAnsi="Arial" w:cs="Arial"/>
          <w:i/>
          <w:noProof/>
        </w:rPr>
      </w:pPr>
    </w:p>
    <w:p w:rsidR="00CD2148" w:rsidRPr="009C6F2C" w:rsidRDefault="00CD2148" w:rsidP="00F273B0">
      <w:pPr>
        <w:rPr>
          <w:rFonts w:ascii="Arial" w:eastAsiaTheme="minorEastAsia" w:hAnsi="Arial" w:cs="Arial"/>
          <w:i/>
          <w:noProof/>
        </w:rPr>
      </w:pPr>
      <w:r w:rsidRPr="009C6F2C">
        <w:rPr>
          <w:rFonts w:ascii="Arial" w:eastAsiaTheme="minorEastAsia" w:hAnsi="Arial" w:cs="Arial"/>
          <w:i/>
          <w:noProof/>
        </w:rPr>
        <w:t xml:space="preserve">The following </w:t>
      </w:r>
      <w:r w:rsidR="00063143">
        <w:rPr>
          <w:rFonts w:ascii="Arial" w:eastAsiaTheme="minorEastAsia" w:hAnsi="Arial" w:cs="Arial"/>
          <w:i/>
          <w:noProof/>
        </w:rPr>
        <w:t xml:space="preserve">“biologic” </w:t>
      </w:r>
      <w:r w:rsidRPr="009C6F2C">
        <w:rPr>
          <w:rFonts w:ascii="Arial" w:eastAsiaTheme="minorEastAsia" w:hAnsi="Arial" w:cs="Arial"/>
          <w:i/>
          <w:noProof/>
        </w:rPr>
        <w:t xml:space="preserve">medications are approved to treat </w:t>
      </w:r>
      <w:r w:rsidR="00063143">
        <w:rPr>
          <w:rFonts w:ascii="Arial" w:eastAsiaTheme="minorEastAsia" w:hAnsi="Arial" w:cs="Arial"/>
          <w:i/>
          <w:noProof/>
        </w:rPr>
        <w:t>moderate-to-</w:t>
      </w:r>
      <w:r w:rsidRPr="009C6F2C">
        <w:rPr>
          <w:rFonts w:ascii="Arial" w:eastAsiaTheme="minorEastAsia" w:hAnsi="Arial" w:cs="Arial"/>
          <w:i/>
          <w:noProof/>
        </w:rPr>
        <w:t xml:space="preserve">severe eosinophilic </w:t>
      </w:r>
      <w:r w:rsidR="00063143">
        <w:rPr>
          <w:rFonts w:ascii="Arial" w:eastAsiaTheme="minorEastAsia" w:hAnsi="Arial" w:cs="Arial"/>
          <w:i/>
          <w:noProof/>
        </w:rPr>
        <w:t xml:space="preserve">or allergic </w:t>
      </w:r>
      <w:r w:rsidRPr="009C6F2C">
        <w:rPr>
          <w:rFonts w:ascii="Arial" w:eastAsiaTheme="minorEastAsia" w:hAnsi="Arial" w:cs="Arial"/>
          <w:i/>
          <w:noProof/>
        </w:rPr>
        <w:t>asthma</w:t>
      </w:r>
      <w:r w:rsidR="00392CD7" w:rsidRPr="009C6F2C">
        <w:rPr>
          <w:rFonts w:ascii="Arial" w:eastAsiaTheme="minorEastAsia" w:hAnsi="Arial" w:cs="Arial"/>
          <w:i/>
          <w:noProof/>
        </w:rPr>
        <w:t>.</w:t>
      </w:r>
      <w:r w:rsidRPr="009C6F2C">
        <w:rPr>
          <w:rFonts w:ascii="Arial" w:eastAsiaTheme="minorEastAsia" w:hAnsi="Arial" w:cs="Arial"/>
          <w:i/>
          <w:noProof/>
        </w:rPr>
        <w:t xml:space="preserve">   </w:t>
      </w:r>
    </w:p>
    <w:p w:rsidR="00F273B0" w:rsidRPr="009C6F2C" w:rsidRDefault="00F273B0" w:rsidP="00063143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Nucala® (mepolizumab)</w:t>
      </w:r>
      <w:r w:rsidR="009533EE" w:rsidRPr="009C6F2C">
        <w:rPr>
          <w:rFonts w:ascii="Arial" w:eastAsiaTheme="minorEastAsia" w:hAnsi="Arial" w:cs="Arial"/>
          <w:noProof/>
        </w:rPr>
        <w:t xml:space="preserve"> </w:t>
      </w:r>
      <w:r w:rsidR="009533EE" w:rsidRPr="009C6F2C">
        <w:rPr>
          <w:rFonts w:ascii="Arial" w:eastAsiaTheme="minorEastAsia" w:hAnsi="Arial" w:cs="Arial"/>
          <w:noProof/>
        </w:rPr>
        <w:sym w:font="Wingdings" w:char="F0F0"/>
      </w:r>
      <w:r w:rsidR="00EB6DEF" w:rsidRPr="009C6F2C">
        <w:rPr>
          <w:rFonts w:ascii="Arial" w:eastAsiaTheme="minorEastAsia" w:hAnsi="Arial" w:cs="Arial"/>
          <w:noProof/>
        </w:rPr>
        <w:t xml:space="preserve"> This is an injection every 4 weeks that is approved</w:t>
      </w:r>
      <w:r w:rsidR="00392CD7" w:rsidRPr="009C6F2C">
        <w:rPr>
          <w:rFonts w:ascii="Arial" w:eastAsiaTheme="minorEastAsia" w:hAnsi="Arial" w:cs="Arial"/>
          <w:noProof/>
        </w:rPr>
        <w:t xml:space="preserve"> for patients ages 12 and older.</w:t>
      </w:r>
      <w:r w:rsidR="00063143">
        <w:rPr>
          <w:rFonts w:ascii="Arial" w:eastAsiaTheme="minorEastAsia" w:hAnsi="Arial" w:cs="Arial"/>
          <w:noProof/>
        </w:rPr>
        <w:t xml:space="preserve"> </w:t>
      </w:r>
      <w:bookmarkStart w:id="0" w:name="_GoBack"/>
      <w:bookmarkEnd w:id="0"/>
      <w:r w:rsidR="00063143">
        <w:rPr>
          <w:rFonts w:ascii="Arial" w:eastAsiaTheme="minorEastAsia" w:hAnsi="Arial" w:cs="Arial"/>
          <w:noProof/>
        </w:rPr>
        <w:t xml:space="preserve">Mepolizumab </w:t>
      </w:r>
      <w:r w:rsidR="00063143" w:rsidRPr="009C6F2C">
        <w:rPr>
          <w:rFonts w:ascii="Arial" w:eastAsiaTheme="minorEastAsia" w:hAnsi="Arial" w:cs="Arial"/>
          <w:noProof/>
        </w:rPr>
        <w:t xml:space="preserve">works by decreasing inflammation caused by the signaling of the </w:t>
      </w:r>
      <w:r w:rsidR="00063143">
        <w:rPr>
          <w:rFonts w:ascii="Arial" w:eastAsiaTheme="minorEastAsia" w:hAnsi="Arial" w:cs="Arial"/>
          <w:noProof/>
        </w:rPr>
        <w:t xml:space="preserve">cytokine </w:t>
      </w:r>
      <w:r w:rsidR="00063143" w:rsidRPr="009C6F2C">
        <w:rPr>
          <w:rFonts w:ascii="Arial" w:eastAsiaTheme="minorEastAsia" w:hAnsi="Arial" w:cs="Arial"/>
          <w:noProof/>
        </w:rPr>
        <w:t>IL-</w:t>
      </w:r>
      <w:r w:rsidR="00063143">
        <w:rPr>
          <w:rFonts w:ascii="Arial" w:eastAsiaTheme="minorEastAsia" w:hAnsi="Arial" w:cs="Arial"/>
          <w:noProof/>
        </w:rPr>
        <w:t>5.</w:t>
      </w:r>
    </w:p>
    <w:p w:rsidR="00C13F2E" w:rsidRPr="009C6F2C" w:rsidRDefault="00C13F2E" w:rsidP="00063143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 xml:space="preserve">Cinqair® (reslizumab) </w:t>
      </w:r>
      <w:r w:rsidRPr="009C6F2C">
        <w:rPr>
          <w:rFonts w:ascii="Arial" w:eastAsiaTheme="minorEastAsia" w:hAnsi="Arial" w:cs="Arial"/>
          <w:noProof/>
        </w:rPr>
        <w:sym w:font="Wingdings" w:char="F0F0"/>
      </w:r>
      <w:r w:rsidRPr="009C6F2C">
        <w:rPr>
          <w:rFonts w:ascii="Arial" w:eastAsiaTheme="minorEastAsia" w:hAnsi="Arial" w:cs="Arial"/>
          <w:noProof/>
        </w:rPr>
        <w:t xml:space="preserve"> </w:t>
      </w:r>
      <w:r w:rsidR="00CD2148" w:rsidRPr="009C6F2C">
        <w:rPr>
          <w:rFonts w:ascii="Arial" w:eastAsiaTheme="minorEastAsia" w:hAnsi="Arial" w:cs="Arial"/>
          <w:noProof/>
        </w:rPr>
        <w:t xml:space="preserve">This is an infusion every 4 weeks that is approved for </w:t>
      </w:r>
      <w:r w:rsidRPr="009C6F2C">
        <w:rPr>
          <w:rFonts w:ascii="Arial" w:eastAsiaTheme="minorEastAsia" w:hAnsi="Arial" w:cs="Arial"/>
          <w:noProof/>
        </w:rPr>
        <w:t>adults (18 years and older)</w:t>
      </w:r>
      <w:r w:rsidR="00CD2148" w:rsidRPr="009C6F2C">
        <w:rPr>
          <w:rFonts w:ascii="Arial" w:eastAsiaTheme="minorEastAsia" w:hAnsi="Arial" w:cs="Arial"/>
          <w:noProof/>
        </w:rPr>
        <w:t>.</w:t>
      </w:r>
      <w:r w:rsidR="00063143">
        <w:rPr>
          <w:rFonts w:ascii="Arial" w:eastAsiaTheme="minorEastAsia" w:hAnsi="Arial" w:cs="Arial"/>
          <w:noProof/>
        </w:rPr>
        <w:t xml:space="preserve"> Reslizumab </w:t>
      </w:r>
      <w:r w:rsidR="00063143" w:rsidRPr="009C6F2C">
        <w:rPr>
          <w:rFonts w:ascii="Arial" w:eastAsiaTheme="minorEastAsia" w:hAnsi="Arial" w:cs="Arial"/>
          <w:noProof/>
        </w:rPr>
        <w:t xml:space="preserve">works by decreasing inflammation caused by the signaling of the </w:t>
      </w:r>
      <w:r w:rsidR="00063143">
        <w:rPr>
          <w:rFonts w:ascii="Arial" w:eastAsiaTheme="minorEastAsia" w:hAnsi="Arial" w:cs="Arial"/>
          <w:noProof/>
        </w:rPr>
        <w:t xml:space="preserve">cytokine </w:t>
      </w:r>
      <w:r w:rsidR="00063143" w:rsidRPr="009C6F2C">
        <w:rPr>
          <w:rFonts w:ascii="Arial" w:eastAsiaTheme="minorEastAsia" w:hAnsi="Arial" w:cs="Arial"/>
          <w:noProof/>
        </w:rPr>
        <w:t>IL-</w:t>
      </w:r>
      <w:r w:rsidR="00063143">
        <w:rPr>
          <w:rFonts w:ascii="Arial" w:eastAsiaTheme="minorEastAsia" w:hAnsi="Arial" w:cs="Arial"/>
          <w:noProof/>
        </w:rPr>
        <w:t>5.</w:t>
      </w:r>
    </w:p>
    <w:p w:rsidR="00DE403A" w:rsidRPr="00063143" w:rsidRDefault="00C13F2E" w:rsidP="00063143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 xml:space="preserve">Fasenra® (benralizumab) </w:t>
      </w:r>
      <w:r w:rsidRPr="009C6F2C">
        <w:rPr>
          <w:rFonts w:ascii="Arial" w:eastAsiaTheme="minorEastAsia" w:hAnsi="Arial" w:cs="Arial"/>
          <w:noProof/>
        </w:rPr>
        <w:sym w:font="Wingdings" w:char="F0F0"/>
      </w:r>
      <w:r w:rsidRPr="009C6F2C">
        <w:rPr>
          <w:rFonts w:ascii="Arial" w:eastAsiaTheme="minorEastAsia" w:hAnsi="Arial" w:cs="Arial"/>
          <w:noProof/>
        </w:rPr>
        <w:t xml:space="preserve"> </w:t>
      </w:r>
      <w:r w:rsidR="00392CD7" w:rsidRPr="009C6F2C">
        <w:rPr>
          <w:rFonts w:ascii="Arial" w:eastAsiaTheme="minorEastAsia" w:hAnsi="Arial" w:cs="Arial"/>
          <w:noProof/>
        </w:rPr>
        <w:t xml:space="preserve">This is an </w:t>
      </w:r>
      <w:r w:rsidR="00EB6DEF" w:rsidRPr="009C6F2C">
        <w:rPr>
          <w:rFonts w:ascii="Arial" w:eastAsiaTheme="minorEastAsia" w:hAnsi="Arial" w:cs="Arial"/>
          <w:noProof/>
        </w:rPr>
        <w:t xml:space="preserve">injection </w:t>
      </w:r>
      <w:r w:rsidRPr="009C6F2C">
        <w:rPr>
          <w:rFonts w:ascii="Arial" w:eastAsiaTheme="minorEastAsia" w:hAnsi="Arial" w:cs="Arial"/>
          <w:noProof/>
        </w:rPr>
        <w:t>once every 8</w:t>
      </w:r>
      <w:r w:rsidR="00392CD7" w:rsidRPr="009C6F2C">
        <w:rPr>
          <w:rFonts w:ascii="Arial" w:eastAsiaTheme="minorEastAsia" w:hAnsi="Arial" w:cs="Arial"/>
          <w:noProof/>
        </w:rPr>
        <w:t xml:space="preserve"> weeks after the first 2 months and is</w:t>
      </w:r>
      <w:r w:rsidRPr="009C6F2C">
        <w:rPr>
          <w:rFonts w:ascii="Arial" w:eastAsiaTheme="minorEastAsia" w:hAnsi="Arial" w:cs="Arial"/>
          <w:noProof/>
        </w:rPr>
        <w:t xml:space="preserve"> approved</w:t>
      </w:r>
      <w:r w:rsidR="00392CD7" w:rsidRPr="009C6F2C">
        <w:rPr>
          <w:rFonts w:ascii="Arial" w:eastAsiaTheme="minorEastAsia" w:hAnsi="Arial" w:cs="Arial"/>
          <w:noProof/>
        </w:rPr>
        <w:t xml:space="preserve"> for patients ages 12 and older.</w:t>
      </w:r>
      <w:r w:rsidR="00063143">
        <w:rPr>
          <w:rFonts w:ascii="Arial" w:eastAsiaTheme="minorEastAsia" w:hAnsi="Arial" w:cs="Arial"/>
          <w:noProof/>
        </w:rPr>
        <w:t xml:space="preserve"> Benralizumab </w:t>
      </w:r>
      <w:r w:rsidR="00063143" w:rsidRPr="009C6F2C">
        <w:rPr>
          <w:rFonts w:ascii="Arial" w:eastAsiaTheme="minorEastAsia" w:hAnsi="Arial" w:cs="Arial"/>
          <w:noProof/>
        </w:rPr>
        <w:t xml:space="preserve">works by decreasing inflammation caused by the signaling </w:t>
      </w:r>
      <w:r w:rsidR="00063143">
        <w:rPr>
          <w:rFonts w:ascii="Arial" w:eastAsiaTheme="minorEastAsia" w:hAnsi="Arial" w:cs="Arial"/>
          <w:noProof/>
        </w:rPr>
        <w:t xml:space="preserve">through </w:t>
      </w:r>
      <w:r w:rsidR="00063143" w:rsidRPr="009C6F2C">
        <w:rPr>
          <w:rFonts w:ascii="Arial" w:eastAsiaTheme="minorEastAsia" w:hAnsi="Arial" w:cs="Arial"/>
          <w:noProof/>
        </w:rPr>
        <w:t>the IL-</w:t>
      </w:r>
      <w:r w:rsidR="00063143">
        <w:rPr>
          <w:rFonts w:ascii="Arial" w:eastAsiaTheme="minorEastAsia" w:hAnsi="Arial" w:cs="Arial"/>
          <w:noProof/>
        </w:rPr>
        <w:t>5Rα receptor.</w:t>
      </w:r>
    </w:p>
    <w:p w:rsidR="00EB6DEF" w:rsidRPr="00063143" w:rsidRDefault="00F273B0" w:rsidP="00063143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>Xolair® (omalizumab)</w:t>
      </w:r>
      <w:r w:rsidR="009533EE" w:rsidRPr="009C6F2C">
        <w:rPr>
          <w:rFonts w:ascii="Arial" w:eastAsiaTheme="minorEastAsia" w:hAnsi="Arial" w:cs="Arial"/>
          <w:noProof/>
        </w:rPr>
        <w:t xml:space="preserve"> </w:t>
      </w:r>
      <w:r w:rsidR="009533EE" w:rsidRPr="009C6F2C">
        <w:rPr>
          <w:rFonts w:ascii="Arial" w:eastAsiaTheme="minorEastAsia" w:hAnsi="Arial" w:cs="Arial"/>
          <w:noProof/>
        </w:rPr>
        <w:sym w:font="Wingdings" w:char="F0F0"/>
      </w:r>
      <w:r w:rsidR="009533EE" w:rsidRPr="009C6F2C">
        <w:rPr>
          <w:rFonts w:ascii="Arial" w:eastAsiaTheme="minorEastAsia" w:hAnsi="Arial" w:cs="Arial"/>
          <w:noProof/>
        </w:rPr>
        <w:t xml:space="preserve"> </w:t>
      </w:r>
      <w:r w:rsidR="002C4682" w:rsidRPr="009C6F2C">
        <w:rPr>
          <w:rFonts w:ascii="Arial" w:eastAsiaTheme="minorEastAsia" w:hAnsi="Arial" w:cs="Arial"/>
          <w:noProof/>
        </w:rPr>
        <w:t xml:space="preserve">This </w:t>
      </w:r>
      <w:r w:rsidR="00C975A1" w:rsidRPr="009C6F2C">
        <w:rPr>
          <w:rFonts w:ascii="Arial" w:eastAsiaTheme="minorEastAsia" w:hAnsi="Arial" w:cs="Arial"/>
          <w:noProof/>
        </w:rPr>
        <w:t>is an injection every 2 or 4 weeks approved to treat</w:t>
      </w:r>
      <w:r w:rsidR="00EB6DEF" w:rsidRPr="009C6F2C">
        <w:rPr>
          <w:rFonts w:ascii="Arial" w:eastAsiaTheme="minorEastAsia" w:hAnsi="Arial" w:cs="Arial"/>
          <w:noProof/>
        </w:rPr>
        <w:t xml:space="preserve"> moderate</w:t>
      </w:r>
      <w:r w:rsidR="00063143">
        <w:rPr>
          <w:rFonts w:ascii="Arial" w:eastAsiaTheme="minorEastAsia" w:hAnsi="Arial" w:cs="Arial"/>
          <w:noProof/>
        </w:rPr>
        <w:t>-</w:t>
      </w:r>
      <w:r w:rsidR="00EB6DEF" w:rsidRPr="009C6F2C">
        <w:rPr>
          <w:rFonts w:ascii="Arial" w:eastAsiaTheme="minorEastAsia" w:hAnsi="Arial" w:cs="Arial"/>
          <w:noProof/>
        </w:rPr>
        <w:t>to</w:t>
      </w:r>
      <w:r w:rsidR="00063143">
        <w:rPr>
          <w:rFonts w:ascii="Arial" w:eastAsiaTheme="minorEastAsia" w:hAnsi="Arial" w:cs="Arial"/>
          <w:noProof/>
        </w:rPr>
        <w:t>-</w:t>
      </w:r>
      <w:r w:rsidR="00EB6DEF" w:rsidRPr="009C6F2C">
        <w:rPr>
          <w:rFonts w:ascii="Arial" w:eastAsiaTheme="minorEastAsia" w:hAnsi="Arial" w:cs="Arial"/>
          <w:noProof/>
        </w:rPr>
        <w:t>severe persistent allergic asthma in patients 6 years and older</w:t>
      </w:r>
      <w:r w:rsidR="00C975A1" w:rsidRPr="009C6F2C">
        <w:rPr>
          <w:rFonts w:ascii="Arial" w:eastAsiaTheme="minorEastAsia" w:hAnsi="Arial" w:cs="Arial"/>
          <w:noProof/>
        </w:rPr>
        <w:t>. It targets the IgE antibody to decrease inflammation and the allergic asthma response.</w:t>
      </w:r>
      <w:r w:rsidR="00EB6DEF" w:rsidRPr="009C6F2C">
        <w:rPr>
          <w:rFonts w:ascii="Arial" w:eastAsiaTheme="minorEastAsia" w:hAnsi="Arial" w:cs="Arial"/>
          <w:noProof/>
        </w:rPr>
        <w:t xml:space="preserve"> </w:t>
      </w:r>
    </w:p>
    <w:p w:rsidR="00C13F2E" w:rsidRPr="009C6F2C" w:rsidRDefault="00C13F2E" w:rsidP="00063143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eastAsiaTheme="minorEastAsia" w:hAnsi="Arial" w:cs="Arial"/>
          <w:noProof/>
        </w:rPr>
      </w:pPr>
      <w:r w:rsidRPr="009C6F2C">
        <w:rPr>
          <w:rFonts w:ascii="Arial" w:eastAsiaTheme="minorEastAsia" w:hAnsi="Arial" w:cs="Arial"/>
          <w:noProof/>
        </w:rPr>
        <w:t xml:space="preserve">Dupixent® (dupilumab) </w:t>
      </w:r>
      <w:r w:rsidRPr="009C6F2C">
        <w:rPr>
          <w:rFonts w:ascii="Arial" w:eastAsiaTheme="minorEastAsia" w:hAnsi="Arial" w:cs="Arial"/>
          <w:noProof/>
        </w:rPr>
        <w:sym w:font="Wingdings" w:char="F0F0"/>
      </w:r>
      <w:r w:rsidR="007F5A3D" w:rsidRPr="009C6F2C">
        <w:rPr>
          <w:rFonts w:ascii="Arial" w:eastAsiaTheme="minorEastAsia" w:hAnsi="Arial" w:cs="Arial"/>
          <w:noProof/>
        </w:rPr>
        <w:t xml:space="preserve"> </w:t>
      </w:r>
      <w:r w:rsidR="002C4682" w:rsidRPr="009C6F2C">
        <w:rPr>
          <w:rFonts w:ascii="Arial" w:eastAsiaTheme="minorEastAsia" w:hAnsi="Arial" w:cs="Arial"/>
          <w:noProof/>
        </w:rPr>
        <w:t>This is an injection every two weeks that patients can learn to perform at home</w:t>
      </w:r>
      <w:r w:rsidR="00063143">
        <w:rPr>
          <w:rFonts w:ascii="Arial" w:eastAsiaTheme="minorEastAsia" w:hAnsi="Arial" w:cs="Arial"/>
          <w:noProof/>
        </w:rPr>
        <w:t xml:space="preserve">, approved to treat </w:t>
      </w:r>
      <w:r w:rsidR="00063143" w:rsidRPr="009C6F2C">
        <w:rPr>
          <w:rFonts w:ascii="Arial" w:eastAsiaTheme="minorEastAsia" w:hAnsi="Arial" w:cs="Arial"/>
          <w:noProof/>
        </w:rPr>
        <w:t>moderate</w:t>
      </w:r>
      <w:r w:rsidR="00063143">
        <w:rPr>
          <w:rFonts w:ascii="Arial" w:eastAsiaTheme="minorEastAsia" w:hAnsi="Arial" w:cs="Arial"/>
          <w:noProof/>
        </w:rPr>
        <w:t>-</w:t>
      </w:r>
      <w:r w:rsidR="00063143" w:rsidRPr="009C6F2C">
        <w:rPr>
          <w:rFonts w:ascii="Arial" w:eastAsiaTheme="minorEastAsia" w:hAnsi="Arial" w:cs="Arial"/>
          <w:noProof/>
        </w:rPr>
        <w:t>to</w:t>
      </w:r>
      <w:r w:rsidR="00063143">
        <w:rPr>
          <w:rFonts w:ascii="Arial" w:eastAsiaTheme="minorEastAsia" w:hAnsi="Arial" w:cs="Arial"/>
          <w:noProof/>
        </w:rPr>
        <w:t>-</w:t>
      </w:r>
      <w:r w:rsidR="00063143" w:rsidRPr="009C6F2C">
        <w:rPr>
          <w:rFonts w:ascii="Arial" w:eastAsiaTheme="minorEastAsia" w:hAnsi="Arial" w:cs="Arial"/>
          <w:noProof/>
        </w:rPr>
        <w:t>severe</w:t>
      </w:r>
      <w:r w:rsidR="00063143">
        <w:rPr>
          <w:rFonts w:ascii="Arial" w:eastAsiaTheme="minorEastAsia" w:hAnsi="Arial" w:cs="Arial"/>
          <w:noProof/>
        </w:rPr>
        <w:t xml:space="preserve"> eosinophilic asthma or steroid-dependent asthma in </w:t>
      </w:r>
      <w:r w:rsidR="00063143" w:rsidRPr="009C6F2C">
        <w:rPr>
          <w:rFonts w:ascii="Arial" w:eastAsiaTheme="minorEastAsia" w:hAnsi="Arial" w:cs="Arial"/>
          <w:noProof/>
        </w:rPr>
        <w:t>patients ages 12 and older</w:t>
      </w:r>
      <w:r w:rsidR="002C4682" w:rsidRPr="009C6F2C">
        <w:rPr>
          <w:rFonts w:ascii="Arial" w:eastAsiaTheme="minorEastAsia" w:hAnsi="Arial" w:cs="Arial"/>
          <w:noProof/>
        </w:rPr>
        <w:t xml:space="preserve">. </w:t>
      </w:r>
      <w:r w:rsidR="009A42D9">
        <w:rPr>
          <w:rFonts w:ascii="Arial" w:eastAsiaTheme="minorEastAsia" w:hAnsi="Arial" w:cs="Arial"/>
          <w:noProof/>
        </w:rPr>
        <w:t xml:space="preserve">It is approved to treat nasal polyps in adults 18 years and older. </w:t>
      </w:r>
      <w:r w:rsidR="00C975A1" w:rsidRPr="009C6F2C">
        <w:rPr>
          <w:rFonts w:ascii="Arial" w:eastAsiaTheme="minorEastAsia" w:hAnsi="Arial" w:cs="Arial"/>
          <w:noProof/>
        </w:rPr>
        <w:t xml:space="preserve">Dupilumab works by decreasing inflammation caused by the signaling of the </w:t>
      </w:r>
      <w:r w:rsidR="00063143">
        <w:rPr>
          <w:rFonts w:ascii="Arial" w:eastAsiaTheme="minorEastAsia" w:hAnsi="Arial" w:cs="Arial"/>
          <w:noProof/>
        </w:rPr>
        <w:t xml:space="preserve">cytokines </w:t>
      </w:r>
      <w:r w:rsidR="00C975A1" w:rsidRPr="009C6F2C">
        <w:rPr>
          <w:rFonts w:ascii="Arial" w:eastAsiaTheme="minorEastAsia" w:hAnsi="Arial" w:cs="Arial"/>
          <w:noProof/>
        </w:rPr>
        <w:t xml:space="preserve">IL-4 and IL-13. </w:t>
      </w:r>
    </w:p>
    <w:p w:rsidR="007F5A3D" w:rsidRPr="009C6F2C" w:rsidRDefault="007F5A3D" w:rsidP="007F5A3D">
      <w:pPr>
        <w:pStyle w:val="ListParagraph"/>
        <w:rPr>
          <w:rFonts w:ascii="Arial" w:eastAsiaTheme="minorEastAsia" w:hAnsi="Arial" w:cs="Arial"/>
          <w:noProof/>
        </w:rPr>
      </w:pPr>
    </w:p>
    <w:p w:rsidR="007F5A3D" w:rsidRPr="009C6F2C" w:rsidRDefault="007F5A3D" w:rsidP="007F5A3D">
      <w:pPr>
        <w:rPr>
          <w:rFonts w:ascii="Arial" w:eastAsiaTheme="minorEastAsia" w:hAnsi="Arial" w:cs="Arial"/>
          <w:noProof/>
        </w:rPr>
      </w:pPr>
    </w:p>
    <w:p w:rsidR="007F5A3D" w:rsidRPr="009C6F2C" w:rsidRDefault="007F5A3D" w:rsidP="007F5A3D">
      <w:pPr>
        <w:rPr>
          <w:rFonts w:ascii="Arial" w:eastAsiaTheme="minorEastAsia" w:hAnsi="Arial" w:cs="Arial"/>
          <w:b/>
          <w:noProof/>
        </w:rPr>
      </w:pPr>
      <w:r w:rsidRPr="009C6F2C">
        <w:rPr>
          <w:rFonts w:ascii="Arial" w:eastAsiaTheme="minorEastAsia" w:hAnsi="Arial" w:cs="Arial"/>
          <w:b/>
          <w:noProof/>
        </w:rPr>
        <w:t>Aspirin</w:t>
      </w:r>
    </w:p>
    <w:p w:rsidR="00410E15" w:rsidRPr="009C6F2C" w:rsidRDefault="009743B0" w:rsidP="007F5A3D">
      <w:pPr>
        <w:rPr>
          <w:rFonts w:ascii="Arial" w:eastAsiaTheme="minorEastAsia" w:hAnsi="Arial" w:cs="Arial"/>
          <w:i/>
          <w:noProof/>
        </w:rPr>
      </w:pPr>
      <w:r w:rsidRPr="009C6F2C">
        <w:rPr>
          <w:rFonts w:ascii="Arial" w:eastAsiaTheme="minorEastAsia" w:hAnsi="Arial" w:cs="Arial"/>
          <w:i/>
          <w:noProof/>
        </w:rPr>
        <w:t>P</w:t>
      </w:r>
      <w:r w:rsidR="00AC352F" w:rsidRPr="009C6F2C">
        <w:rPr>
          <w:rFonts w:ascii="Arial" w:eastAsiaTheme="minorEastAsia" w:hAnsi="Arial" w:cs="Arial"/>
          <w:i/>
          <w:noProof/>
        </w:rPr>
        <w:t>hysician-supervised aspirin desensitization</w:t>
      </w:r>
      <w:r w:rsidRPr="009C6F2C">
        <w:rPr>
          <w:rFonts w:ascii="Arial" w:eastAsiaTheme="minorEastAsia" w:hAnsi="Arial" w:cs="Arial"/>
          <w:i/>
          <w:noProof/>
        </w:rPr>
        <w:t xml:space="preserve"> followed by daily high-dose</w:t>
      </w:r>
      <w:r w:rsidR="00AC352F" w:rsidRPr="009C6F2C">
        <w:rPr>
          <w:rFonts w:ascii="Arial" w:eastAsiaTheme="minorEastAsia" w:hAnsi="Arial" w:cs="Arial"/>
          <w:i/>
          <w:noProof/>
        </w:rPr>
        <w:t xml:space="preserve"> aspirin</w:t>
      </w:r>
      <w:r w:rsidRPr="009C6F2C">
        <w:rPr>
          <w:rFonts w:ascii="Arial" w:eastAsiaTheme="minorEastAsia" w:hAnsi="Arial" w:cs="Arial"/>
          <w:i/>
          <w:noProof/>
        </w:rPr>
        <w:t xml:space="preserve"> is a widely used treatment for AERD.</w:t>
      </w:r>
      <w:r w:rsidR="00DE7352" w:rsidRPr="009C6F2C">
        <w:rPr>
          <w:rFonts w:ascii="Arial" w:eastAsiaTheme="minorEastAsia" w:hAnsi="Arial" w:cs="Arial"/>
          <w:i/>
          <w:noProof/>
        </w:rPr>
        <w:t xml:space="preserve"> The doses that work best for most patients are either 650mg twice a day or 325mg twice a day. Taking high-dose aspirin often improves sinus and asthma symtpoms and slows polyp regrowth after surgery in patients with AERD. Aspirin desensiti</w:t>
      </w:r>
      <w:r w:rsidRPr="009C6F2C">
        <w:rPr>
          <w:rFonts w:ascii="Arial" w:eastAsiaTheme="minorEastAsia" w:hAnsi="Arial" w:cs="Arial"/>
          <w:i/>
          <w:noProof/>
        </w:rPr>
        <w:t>zation appears to have the best outcomes when it closely follows sinus surgery.</w:t>
      </w:r>
    </w:p>
    <w:p w:rsidR="00F273B0" w:rsidRDefault="00F273B0" w:rsidP="00F273B0">
      <w:pPr>
        <w:rPr>
          <w:rFonts w:ascii="Arial" w:eastAsiaTheme="minorEastAsia" w:hAnsi="Arial" w:cs="Arial"/>
          <w:noProof/>
        </w:rPr>
      </w:pPr>
    </w:p>
    <w:p w:rsidR="00F273B0" w:rsidRDefault="00F273B0" w:rsidP="00F273B0">
      <w:pPr>
        <w:rPr>
          <w:rFonts w:ascii="Arial" w:eastAsiaTheme="minorEastAsia" w:hAnsi="Arial" w:cs="Arial"/>
          <w:noProof/>
        </w:rPr>
      </w:pPr>
    </w:p>
    <w:p w:rsidR="00F273B0" w:rsidRPr="00F273B0" w:rsidRDefault="00F273B0" w:rsidP="00F273B0">
      <w:pPr>
        <w:rPr>
          <w:rFonts w:ascii="Arial" w:eastAsiaTheme="minorEastAsia" w:hAnsi="Arial" w:cs="Arial"/>
          <w:noProof/>
        </w:rPr>
      </w:pPr>
    </w:p>
    <w:p w:rsidR="00A9740F" w:rsidRPr="00B22252" w:rsidRDefault="00AE4DA8">
      <w:pPr>
        <w:rPr>
          <w:rFonts w:ascii="Arial" w:hAnsi="Arial" w:cs="Arial"/>
        </w:rPr>
      </w:pPr>
      <w:r w:rsidRPr="00B22252">
        <w:rPr>
          <w:rFonts w:ascii="Arial" w:hAnsi="Arial" w:cs="Arial"/>
        </w:rPr>
        <w:t xml:space="preserve">            </w:t>
      </w:r>
    </w:p>
    <w:sectPr w:rsidR="00A9740F" w:rsidRPr="00B22252" w:rsidSect="00111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0" w:right="1152" w:bottom="1350" w:left="1152" w:header="446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CD" w:rsidRDefault="003150CD" w:rsidP="00045D54">
      <w:r>
        <w:separator/>
      </w:r>
    </w:p>
  </w:endnote>
  <w:endnote w:type="continuationSeparator" w:id="0">
    <w:p w:rsidR="003150CD" w:rsidRDefault="003150CD" w:rsidP="0004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32" w:rsidRDefault="00111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32" w:rsidRDefault="00111C32" w:rsidP="00111C32">
    <w:pPr>
      <w:pStyle w:val="Footer"/>
      <w:jc w:val="right"/>
      <w:rPr>
        <w:rFonts w:ascii="Arial" w:hAnsi="Arial" w:cs="Arial"/>
        <w:i/>
        <w:sz w:val="24"/>
        <w:szCs w:val="20"/>
      </w:rPr>
    </w:pPr>
    <w:r>
      <w:rPr>
        <w:rFonts w:ascii="Arial" w:hAnsi="Arial" w:cs="Arial"/>
        <w:i/>
        <w:sz w:val="24"/>
        <w:szCs w:val="20"/>
      </w:rPr>
      <w:tab/>
    </w:r>
  </w:p>
  <w:sdt>
    <w:sdtPr>
      <w:rPr>
        <w:rFonts w:ascii="Arial" w:hAnsi="Arial" w:cs="Arial"/>
        <w:sz w:val="20"/>
        <w:szCs w:val="20"/>
      </w:rPr>
      <w:id w:val="463929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C32" w:rsidRPr="00D50C83" w:rsidRDefault="00111C32" w:rsidP="00111C32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D50C83">
          <w:rPr>
            <w:rFonts w:ascii="Arial" w:hAnsi="Arial" w:cs="Arial"/>
            <w:sz w:val="20"/>
            <w:szCs w:val="20"/>
          </w:rPr>
          <w:t xml:space="preserve">Page </w:t>
        </w:r>
        <w:r w:rsidRPr="00D50C83">
          <w:rPr>
            <w:rFonts w:ascii="Arial" w:hAnsi="Arial" w:cs="Arial"/>
            <w:sz w:val="20"/>
            <w:szCs w:val="20"/>
          </w:rPr>
          <w:fldChar w:fldCharType="begin"/>
        </w:r>
        <w:r w:rsidRPr="00D50C8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50C83">
          <w:rPr>
            <w:rFonts w:ascii="Arial" w:hAnsi="Arial" w:cs="Arial"/>
            <w:sz w:val="20"/>
            <w:szCs w:val="20"/>
          </w:rPr>
          <w:fldChar w:fldCharType="separate"/>
        </w:r>
        <w:r w:rsidR="009A42D9">
          <w:rPr>
            <w:rFonts w:ascii="Arial" w:hAnsi="Arial" w:cs="Arial"/>
            <w:noProof/>
            <w:sz w:val="20"/>
            <w:szCs w:val="20"/>
          </w:rPr>
          <w:t>2</w:t>
        </w:r>
        <w:r w:rsidRPr="00D50C83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50C83">
          <w:rPr>
            <w:rFonts w:ascii="Arial" w:hAnsi="Arial" w:cs="Arial"/>
            <w:noProof/>
            <w:sz w:val="20"/>
            <w:szCs w:val="20"/>
          </w:rPr>
          <w:t xml:space="preserve"> </w:t>
        </w:r>
      </w:p>
      <w:p w:rsidR="00111C32" w:rsidRPr="00D50C83" w:rsidRDefault="00111C32" w:rsidP="00111C3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50C83">
          <w:rPr>
            <w:rFonts w:ascii="Arial" w:hAnsi="Arial" w:cs="Arial"/>
            <w:noProof/>
            <w:sz w:val="20"/>
            <w:szCs w:val="20"/>
          </w:rPr>
          <w:t xml:space="preserve">Written by Drs. Tanya M. Laidlaw and Andrew White, </w:t>
        </w:r>
        <w:r>
          <w:rPr>
            <w:rFonts w:ascii="Arial" w:hAnsi="Arial" w:cs="Arial"/>
            <w:noProof/>
            <w:sz w:val="20"/>
            <w:szCs w:val="20"/>
          </w:rPr>
          <w:t xml:space="preserve">June </w:t>
        </w:r>
        <w:r w:rsidRPr="00D50C83">
          <w:rPr>
            <w:rFonts w:ascii="Arial" w:hAnsi="Arial" w:cs="Arial"/>
            <w:noProof/>
            <w:sz w:val="20"/>
            <w:szCs w:val="20"/>
          </w:rPr>
          <w:t>201</w:t>
        </w:r>
        <w:r>
          <w:rPr>
            <w:rFonts w:ascii="Arial" w:hAnsi="Arial" w:cs="Arial"/>
            <w:noProof/>
            <w:sz w:val="20"/>
            <w:szCs w:val="20"/>
          </w:rPr>
          <w:t>9</w:t>
        </w:r>
      </w:p>
    </w:sdtContent>
  </w:sdt>
  <w:p w:rsidR="00B9378C" w:rsidRDefault="00B9378C" w:rsidP="00111C32">
    <w:pPr>
      <w:pStyle w:val="Footer"/>
      <w:tabs>
        <w:tab w:val="clear" w:pos="4680"/>
        <w:tab w:val="clear" w:pos="9360"/>
        <w:tab w:val="left" w:pos="8175"/>
      </w:tabs>
      <w:rPr>
        <w:rFonts w:ascii="Arial" w:hAnsi="Arial" w:cs="Arial"/>
        <w:i/>
        <w:sz w:val="24"/>
        <w:szCs w:val="20"/>
      </w:rPr>
    </w:pPr>
  </w:p>
  <w:p w:rsidR="00B9378C" w:rsidRPr="00285C43" w:rsidRDefault="00B9378C" w:rsidP="00285C43">
    <w:pPr>
      <w:pStyle w:val="Footer"/>
      <w:tabs>
        <w:tab w:val="clear" w:pos="9360"/>
        <w:tab w:val="right" w:pos="9720"/>
      </w:tabs>
      <w:ind w:left="-540" w:right="-252"/>
      <w:rPr>
        <w:rFonts w:ascii="Arial" w:hAnsi="Arial" w:cs="Arial"/>
        <w:i/>
        <w:sz w:val="16"/>
        <w:szCs w:val="16"/>
      </w:rPr>
    </w:pPr>
    <w:r w:rsidRPr="00285C43">
      <w:rPr>
        <w:rFonts w:ascii="Arial" w:hAnsi="Arial" w:cs="Arial"/>
        <w:i/>
        <w:sz w:val="24"/>
        <w:szCs w:val="20"/>
      </w:rPr>
      <w:t>*</w:t>
    </w:r>
    <w:r w:rsidRPr="00285C43">
      <w:rPr>
        <w:rFonts w:ascii="Arial" w:hAnsi="Arial" w:cs="Arial"/>
        <w:i/>
        <w:sz w:val="20"/>
        <w:szCs w:val="20"/>
      </w:rPr>
      <w:t>Please note that many of these medications are not FDA approved for AERD specifically, or for the exact use for which we recommend them.</w:t>
    </w:r>
  </w:p>
  <w:p w:rsidR="00B9378C" w:rsidRPr="00285C43" w:rsidRDefault="00B9378C" w:rsidP="00285C43">
    <w:pPr>
      <w:pStyle w:val="Footer"/>
      <w:tabs>
        <w:tab w:val="clear" w:pos="9360"/>
        <w:tab w:val="right" w:pos="9720"/>
      </w:tabs>
      <w:jc w:val="right"/>
      <w:rPr>
        <w:rFonts w:ascii="Arial" w:hAnsi="Arial" w:cs="Arial"/>
        <w:sz w:val="8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32" w:rsidRDefault="00111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CD" w:rsidRDefault="003150CD" w:rsidP="00045D54">
      <w:r>
        <w:separator/>
      </w:r>
    </w:p>
  </w:footnote>
  <w:footnote w:type="continuationSeparator" w:id="0">
    <w:p w:rsidR="003150CD" w:rsidRDefault="003150CD" w:rsidP="0004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32" w:rsidRDefault="00111C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8C" w:rsidRPr="00045D54" w:rsidRDefault="00111C32" w:rsidP="005F3944">
    <w:pPr>
      <w:pStyle w:val="Footer"/>
      <w:tabs>
        <w:tab w:val="clear" w:pos="9360"/>
        <w:tab w:val="right" w:pos="9720"/>
      </w:tabs>
      <w:jc w:val="right"/>
      <w:rPr>
        <w:rFonts w:ascii="Arial" w:hAnsi="Arial" w:cs="Arial"/>
        <w:sz w:val="16"/>
        <w:szCs w:val="16"/>
      </w:rPr>
    </w:pPr>
    <w:r w:rsidRPr="00111C32">
      <w:rPr>
        <w:noProof/>
      </w:rPr>
      <w:drawing>
        <wp:anchor distT="0" distB="0" distL="114300" distR="114300" simplePos="0" relativeHeight="251660288" behindDoc="0" locked="0" layoutInCell="1" allowOverlap="1" wp14:anchorId="5D472F0A" wp14:editId="0EE47877">
          <wp:simplePos x="0" y="0"/>
          <wp:positionH relativeFrom="column">
            <wp:posOffset>4448175</wp:posOffset>
          </wp:positionH>
          <wp:positionV relativeFrom="paragraph">
            <wp:posOffset>-36195</wp:posOffset>
          </wp:positionV>
          <wp:extent cx="2131060" cy="520700"/>
          <wp:effectExtent l="0" t="0" r="2540" b="0"/>
          <wp:wrapThrough wrapText="bothSides">
            <wp:wrapPolygon edited="0">
              <wp:start x="0" y="0"/>
              <wp:lineTo x="0" y="20546"/>
              <wp:lineTo x="21433" y="20546"/>
              <wp:lineTo x="21433" y="0"/>
              <wp:lineTo x="0" y="0"/>
            </wp:wrapPolygon>
          </wp:wrapThrough>
          <wp:docPr id="6" name="Picture 6" descr="C:\Users\tpl\AppData\Local\Microsoft\Windows\Temporary Internet Files\Content.MSO\5B5AD67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pl\AppData\Local\Microsoft\Windows\Temporary Internet Files\Content.MSO\5B5AD67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C32">
      <w:rPr>
        <w:noProof/>
      </w:rPr>
      <w:drawing>
        <wp:anchor distT="0" distB="0" distL="114300" distR="114300" simplePos="0" relativeHeight="251659264" behindDoc="0" locked="0" layoutInCell="1" allowOverlap="1" wp14:anchorId="4F604391" wp14:editId="3B0CE0E0">
          <wp:simplePos x="0" y="0"/>
          <wp:positionH relativeFrom="column">
            <wp:posOffset>-361950</wp:posOffset>
          </wp:positionH>
          <wp:positionV relativeFrom="paragraph">
            <wp:posOffset>-55245</wp:posOffset>
          </wp:positionV>
          <wp:extent cx="2801816" cy="742950"/>
          <wp:effectExtent l="0" t="0" r="0" b="0"/>
          <wp:wrapNone/>
          <wp:docPr id="7" name="Picture 7" descr="AERD Center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RD Center Logo 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81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78C" w:rsidRDefault="00B9378C" w:rsidP="00045D54">
    <w:pPr>
      <w:pStyle w:val="Header"/>
      <w:ind w:left="-900"/>
    </w:pPr>
  </w:p>
  <w:p w:rsidR="00B9378C" w:rsidRDefault="00B937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32" w:rsidRDefault="00111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ABD"/>
    <w:multiLevelType w:val="hybridMultilevel"/>
    <w:tmpl w:val="1930B3F6"/>
    <w:lvl w:ilvl="0" w:tplc="5C70B2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0B9D"/>
    <w:multiLevelType w:val="hybridMultilevel"/>
    <w:tmpl w:val="6098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629"/>
    <w:multiLevelType w:val="hybridMultilevel"/>
    <w:tmpl w:val="713C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51A10"/>
    <w:multiLevelType w:val="hybridMultilevel"/>
    <w:tmpl w:val="0DE6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33D9"/>
    <w:multiLevelType w:val="hybridMultilevel"/>
    <w:tmpl w:val="21F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A5D64"/>
    <w:multiLevelType w:val="hybridMultilevel"/>
    <w:tmpl w:val="F282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639EF"/>
    <w:multiLevelType w:val="hybridMultilevel"/>
    <w:tmpl w:val="7E0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EC"/>
    <w:rsid w:val="00045D54"/>
    <w:rsid w:val="00063143"/>
    <w:rsid w:val="000F68ED"/>
    <w:rsid w:val="001015D0"/>
    <w:rsid w:val="00111C32"/>
    <w:rsid w:val="001B7E97"/>
    <w:rsid w:val="00285C43"/>
    <w:rsid w:val="002C4682"/>
    <w:rsid w:val="003150CD"/>
    <w:rsid w:val="00350879"/>
    <w:rsid w:val="00392CD7"/>
    <w:rsid w:val="00393F65"/>
    <w:rsid w:val="003D4435"/>
    <w:rsid w:val="00410E15"/>
    <w:rsid w:val="00450825"/>
    <w:rsid w:val="004C224C"/>
    <w:rsid w:val="00543B1A"/>
    <w:rsid w:val="00574F13"/>
    <w:rsid w:val="005B0F04"/>
    <w:rsid w:val="005B7420"/>
    <w:rsid w:val="005F3944"/>
    <w:rsid w:val="00612D5F"/>
    <w:rsid w:val="0065790B"/>
    <w:rsid w:val="00666ED0"/>
    <w:rsid w:val="006F7D8C"/>
    <w:rsid w:val="0072790A"/>
    <w:rsid w:val="0073349A"/>
    <w:rsid w:val="007C1001"/>
    <w:rsid w:val="007D5F91"/>
    <w:rsid w:val="007F5A3D"/>
    <w:rsid w:val="00814C87"/>
    <w:rsid w:val="00874E83"/>
    <w:rsid w:val="008C76FA"/>
    <w:rsid w:val="009533EE"/>
    <w:rsid w:val="009743B0"/>
    <w:rsid w:val="009A42D9"/>
    <w:rsid w:val="009C6F2C"/>
    <w:rsid w:val="00A9740F"/>
    <w:rsid w:val="00AA7354"/>
    <w:rsid w:val="00AC352F"/>
    <w:rsid w:val="00AE4DA8"/>
    <w:rsid w:val="00B22252"/>
    <w:rsid w:val="00B9378C"/>
    <w:rsid w:val="00C13F2E"/>
    <w:rsid w:val="00C302EC"/>
    <w:rsid w:val="00C6151D"/>
    <w:rsid w:val="00C975A1"/>
    <w:rsid w:val="00CD2148"/>
    <w:rsid w:val="00CF4E66"/>
    <w:rsid w:val="00DE403A"/>
    <w:rsid w:val="00DE7352"/>
    <w:rsid w:val="00E4589E"/>
    <w:rsid w:val="00E8706C"/>
    <w:rsid w:val="00EB6DEF"/>
    <w:rsid w:val="00EB7C2C"/>
    <w:rsid w:val="00EF7C77"/>
    <w:rsid w:val="00F273B0"/>
    <w:rsid w:val="00F72709"/>
    <w:rsid w:val="00F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2BE5B-11EC-4CAE-A8B7-249E9D3B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02E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D54"/>
  </w:style>
  <w:style w:type="paragraph" w:styleId="Footer">
    <w:name w:val="footer"/>
    <w:basedOn w:val="Normal"/>
    <w:link w:val="FooterChar"/>
    <w:uiPriority w:val="99"/>
    <w:unhideWhenUsed/>
    <w:rsid w:val="0004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D54"/>
  </w:style>
  <w:style w:type="paragraph" w:styleId="ListParagraph">
    <w:name w:val="List Paragraph"/>
    <w:basedOn w:val="Normal"/>
    <w:uiPriority w:val="34"/>
    <w:qFormat/>
    <w:rsid w:val="00AA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67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09966"/>
                            <w:left w:val="none" w:sz="0" w:space="0" w:color="auto"/>
                            <w:bottom w:val="single" w:sz="12" w:space="0" w:color="0099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Laidlaw, Tanya M.,M.D.</dc:creator>
  <cp:lastModifiedBy>White, Andrew A. M.D.</cp:lastModifiedBy>
  <cp:revision>3</cp:revision>
  <cp:lastPrinted>2016-11-17T13:50:00Z</cp:lastPrinted>
  <dcterms:created xsi:type="dcterms:W3CDTF">2019-06-12T01:07:00Z</dcterms:created>
  <dcterms:modified xsi:type="dcterms:W3CDTF">2019-08-21T01:05:00Z</dcterms:modified>
</cp:coreProperties>
</file>